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75" w:rsidRPr="007721FA" w:rsidRDefault="007721FA">
      <w:pPr>
        <w:spacing w:after="0" w:line="100" w:lineRule="atLeast"/>
        <w:jc w:val="center"/>
      </w:pPr>
      <w:r w:rsidRPr="007721FA">
        <w:rPr>
          <w:noProof/>
          <w:lang w:val="sv-SE" w:eastAsia="sv-SE" w:bidi="ar-SA"/>
        </w:rPr>
        <w:drawing>
          <wp:inline distT="0" distB="0" distL="0" distR="0" wp14:anchorId="0BFAB7DC" wp14:editId="2C6C2760">
            <wp:extent cx="3858895" cy="844413"/>
            <wp:effectExtent l="0" t="0" r="1905" b="0"/>
            <wp:docPr id="1" name="Picture" descr="C:\Users\Wies\Desktop\for working sessions\GFMD Sweden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Wies\Desktop\for working sessions\GFMD Sweden logo PNG.png"/>
                    <pic:cNvPicPr>
                      <a:picLocks noChangeAspect="1" noChangeArrowheads="1"/>
                    </pic:cNvPicPr>
                  </pic:nvPicPr>
                  <pic:blipFill>
                    <a:blip r:embed="rId7"/>
                    <a:srcRect/>
                    <a:stretch>
                      <a:fillRect/>
                    </a:stretch>
                  </pic:blipFill>
                  <pic:spPr bwMode="auto">
                    <a:xfrm>
                      <a:off x="0" y="0"/>
                      <a:ext cx="3858895" cy="844413"/>
                    </a:xfrm>
                    <a:prstGeom prst="rect">
                      <a:avLst/>
                    </a:prstGeom>
                    <a:noFill/>
                    <a:ln w="9525">
                      <a:noFill/>
                      <a:miter lim="800000"/>
                      <a:headEnd/>
                      <a:tailEnd/>
                    </a:ln>
                  </pic:spPr>
                </pic:pic>
              </a:graphicData>
            </a:graphic>
          </wp:inline>
        </w:drawing>
      </w:r>
    </w:p>
    <w:p w:rsidR="00DD3075" w:rsidRPr="007721FA" w:rsidRDefault="00DD3075">
      <w:pPr>
        <w:spacing w:after="0" w:line="100" w:lineRule="atLeast"/>
        <w:jc w:val="both"/>
        <w:rPr>
          <w:rFonts w:cs="Calibri,Bold"/>
          <w:b/>
          <w:bCs/>
          <w:color w:val="008FC1"/>
        </w:rPr>
      </w:pPr>
    </w:p>
    <w:p w:rsidR="00DD3075" w:rsidRPr="007721FA" w:rsidRDefault="00D83BDA" w:rsidP="00965087">
      <w:pPr>
        <w:spacing w:after="0" w:line="100" w:lineRule="atLeast"/>
        <w:ind w:left="-284" w:right="-284"/>
        <w:jc w:val="center"/>
        <w:rPr>
          <w:b/>
          <w:i/>
          <w:sz w:val="26"/>
        </w:rPr>
      </w:pPr>
      <w:r w:rsidRPr="00D83BDA">
        <w:rPr>
          <w:b/>
          <w:i/>
          <w:sz w:val="26"/>
        </w:rPr>
        <w:t>Définir les objectifs de la Migration et du Développement</w:t>
      </w:r>
      <w:r w:rsidR="007721FA" w:rsidRPr="007721FA">
        <w:rPr>
          <w:b/>
          <w:i/>
          <w:sz w:val="26"/>
        </w:rPr>
        <w:t>: mouvement mondial, changements sur le terrain</w:t>
      </w:r>
    </w:p>
    <w:p w:rsidR="00DD3075" w:rsidRPr="007721FA" w:rsidRDefault="00DD3075" w:rsidP="00965087">
      <w:pPr>
        <w:spacing w:after="0" w:line="100" w:lineRule="atLeast"/>
        <w:ind w:left="-284" w:right="-284"/>
        <w:rPr>
          <w:rFonts w:cs="Calibri,Bold"/>
          <w:b/>
          <w:bCs/>
          <w:sz w:val="10"/>
          <w:szCs w:val="10"/>
        </w:rPr>
      </w:pPr>
    </w:p>
    <w:p w:rsidR="00DD3075" w:rsidRPr="007721FA" w:rsidRDefault="00DD3075" w:rsidP="00965087">
      <w:pPr>
        <w:pBdr>
          <w:top w:val="single" w:sz="4" w:space="0" w:color="00000A"/>
          <w:left w:val="single" w:sz="4" w:space="0" w:color="00000A"/>
          <w:bottom w:val="single" w:sz="4" w:space="0" w:color="00000A"/>
          <w:right w:val="single" w:sz="4" w:space="0" w:color="00000A"/>
        </w:pBdr>
        <w:spacing w:after="0" w:line="100" w:lineRule="atLeast"/>
        <w:ind w:left="-284" w:right="-284"/>
        <w:jc w:val="center"/>
        <w:rPr>
          <w:rFonts w:cs="Calibri,Bold"/>
          <w:b/>
          <w:bCs/>
          <w:sz w:val="16"/>
          <w:szCs w:val="16"/>
        </w:rPr>
      </w:pPr>
    </w:p>
    <w:p w:rsidR="00DD3075" w:rsidRPr="007721FA" w:rsidRDefault="007721FA" w:rsidP="00965087">
      <w:pPr>
        <w:pBdr>
          <w:top w:val="single" w:sz="4" w:space="0" w:color="00000A"/>
          <w:left w:val="single" w:sz="4" w:space="0" w:color="00000A"/>
          <w:bottom w:val="single" w:sz="4" w:space="0" w:color="00000A"/>
          <w:right w:val="single" w:sz="4" w:space="0" w:color="00000A"/>
        </w:pBdr>
        <w:spacing w:after="0" w:line="100" w:lineRule="atLeast"/>
        <w:ind w:left="-284" w:right="-284"/>
        <w:jc w:val="center"/>
        <w:rPr>
          <w:b/>
          <w:sz w:val="26"/>
        </w:rPr>
      </w:pPr>
      <w:r w:rsidRPr="007721FA">
        <w:rPr>
          <w:b/>
          <w:sz w:val="26"/>
        </w:rPr>
        <w:t>Document d'information pour les Journées de la Société Civile du FMMD 2014</w:t>
      </w:r>
    </w:p>
    <w:p w:rsidR="00DD3075" w:rsidRPr="007721FA" w:rsidRDefault="007721FA" w:rsidP="00965087">
      <w:pPr>
        <w:pBdr>
          <w:top w:val="single" w:sz="4" w:space="0" w:color="00000A"/>
          <w:left w:val="single" w:sz="4" w:space="0" w:color="00000A"/>
          <w:bottom w:val="single" w:sz="4" w:space="0" w:color="00000A"/>
          <w:right w:val="single" w:sz="4" w:space="0" w:color="00000A"/>
        </w:pBdr>
        <w:spacing w:after="0" w:line="100" w:lineRule="atLeast"/>
        <w:ind w:left="-284" w:right="-284"/>
        <w:jc w:val="center"/>
        <w:rPr>
          <w:b/>
          <w:i/>
          <w:sz w:val="28"/>
        </w:rPr>
      </w:pPr>
      <w:r w:rsidRPr="007721FA">
        <w:rPr>
          <w:b/>
          <w:i/>
          <w:sz w:val="28"/>
        </w:rPr>
        <w:t>Objectifs, séances de travail, questions directrices et rôles parlants</w:t>
      </w:r>
    </w:p>
    <w:p w:rsidR="00DD3075" w:rsidRPr="007721FA" w:rsidRDefault="00DD3075" w:rsidP="00965087">
      <w:pPr>
        <w:pBdr>
          <w:top w:val="single" w:sz="4" w:space="0" w:color="00000A"/>
          <w:left w:val="single" w:sz="4" w:space="0" w:color="00000A"/>
          <w:bottom w:val="single" w:sz="4" w:space="0" w:color="00000A"/>
          <w:right w:val="single" w:sz="4" w:space="0" w:color="00000A"/>
        </w:pBdr>
        <w:spacing w:after="0" w:line="100" w:lineRule="atLeast"/>
        <w:ind w:left="-284" w:right="-284"/>
        <w:jc w:val="center"/>
        <w:rPr>
          <w:rFonts w:cs="Calibri,Bold"/>
          <w:b/>
          <w:bCs/>
          <w:i/>
          <w:sz w:val="16"/>
          <w:szCs w:val="16"/>
        </w:rPr>
      </w:pPr>
    </w:p>
    <w:p w:rsidR="00DD3075" w:rsidRPr="007721FA" w:rsidRDefault="00DD3075" w:rsidP="00965087">
      <w:pPr>
        <w:spacing w:after="0" w:line="100" w:lineRule="atLeast"/>
        <w:ind w:left="-284" w:right="-284"/>
        <w:jc w:val="center"/>
        <w:rPr>
          <w:rFonts w:cs="Calibri,Bold"/>
          <w:b/>
          <w:bCs/>
          <w:i/>
          <w:color w:val="FF0000"/>
        </w:rPr>
      </w:pPr>
    </w:p>
    <w:p w:rsidR="00DD3075" w:rsidRPr="007721FA" w:rsidRDefault="00DD3075" w:rsidP="00965087">
      <w:pPr>
        <w:spacing w:after="0" w:line="100" w:lineRule="atLeast"/>
        <w:ind w:left="-284" w:right="-284"/>
        <w:jc w:val="both"/>
        <w:rPr>
          <w:rFonts w:cs="Calibri,Bold"/>
          <w:b/>
          <w:bCs/>
          <w:color w:val="92D050"/>
          <w:sz w:val="10"/>
          <w:szCs w:val="10"/>
        </w:rPr>
      </w:pPr>
    </w:p>
    <w:p w:rsidR="00DD3075" w:rsidRPr="00DD2505" w:rsidRDefault="007721FA" w:rsidP="00DD2505">
      <w:pPr>
        <w:spacing w:after="0" w:line="100" w:lineRule="atLeast"/>
        <w:ind w:left="-567" w:right="-426"/>
        <w:jc w:val="both"/>
        <w:rPr>
          <w:b/>
          <w:i/>
        </w:rPr>
      </w:pPr>
      <w:r w:rsidRPr="007721FA">
        <w:t>Le programme de la société civile de cette année met l'accent sur la</w:t>
      </w:r>
      <w:r w:rsidRPr="007721FA">
        <w:rPr>
          <w:b/>
          <w:i/>
        </w:rPr>
        <w:t xml:space="preserve"> “</w:t>
      </w:r>
      <w:r w:rsidR="00DD2505" w:rsidRPr="00DD2505">
        <w:rPr>
          <w:b/>
          <w:i/>
        </w:rPr>
        <w:t>Définir les objectifs de la Migration et du Développement: mouvement mondial, changement sur le terrain“</w:t>
      </w:r>
      <w:r w:rsidR="00DD2505">
        <w:rPr>
          <w:b/>
          <w:i/>
        </w:rPr>
        <w:t xml:space="preserve">. </w:t>
      </w:r>
      <w:r w:rsidRPr="007721FA">
        <w:t>Ce thème reflète la priorité de la société civile pour le FMMD 2014 de traduire les résultats de la FMMD 2012 et du Dialogue de Haut Niveau sur le Développement et les Migrations Internationales de l'année dernière, en particulier du plan d'action quinquennal en 8 points de la société civile, en buts, objectifs et indicateurs concrets, visant en particulier aux mises en œuvre, pratiques et changements locaux.</w:t>
      </w:r>
    </w:p>
    <w:p w:rsidR="00DD3075" w:rsidRPr="007721FA" w:rsidRDefault="00DD3075" w:rsidP="00965087">
      <w:pPr>
        <w:spacing w:after="0" w:line="100" w:lineRule="atLeast"/>
        <w:ind w:left="-567" w:right="-426"/>
        <w:jc w:val="both"/>
        <w:rPr>
          <w:color w:val="000000"/>
        </w:rPr>
      </w:pPr>
    </w:p>
    <w:p w:rsidR="00DD3075" w:rsidRPr="007721FA" w:rsidRDefault="007721FA" w:rsidP="00965087">
      <w:pPr>
        <w:spacing w:after="0" w:line="100" w:lineRule="atLeast"/>
        <w:ind w:left="-567" w:right="-426"/>
        <w:jc w:val="both"/>
        <w:rPr>
          <w:color w:val="000000"/>
        </w:rPr>
      </w:pPr>
      <w:r w:rsidRPr="007721FA">
        <w:rPr>
          <w:color w:val="000000"/>
        </w:rPr>
        <w:t xml:space="preserve">Comme les années précédentes, les Journées de la Société Civile (JSC) du FMMD 2014 seront structurées autour d'un mélange de </w:t>
      </w:r>
      <w:r w:rsidRPr="007721FA">
        <w:rPr>
          <w:b/>
          <w:color w:val="000000"/>
        </w:rPr>
        <w:t>séances plénières</w:t>
      </w:r>
      <w:r w:rsidRPr="007721FA">
        <w:rPr>
          <w:color w:val="000000"/>
        </w:rPr>
        <w:t xml:space="preserve"> et de </w:t>
      </w:r>
      <w:r w:rsidRPr="007721FA">
        <w:rPr>
          <w:b/>
          <w:bCs/>
          <w:color w:val="000000"/>
        </w:rPr>
        <w:t xml:space="preserve">séances de travail </w:t>
      </w:r>
      <w:r w:rsidRPr="007721FA">
        <w:rPr>
          <w:color w:val="000000"/>
        </w:rPr>
        <w:t>interactives en parallèle</w:t>
      </w:r>
      <w:r w:rsidRPr="007721FA">
        <w:rPr>
          <w:b/>
          <w:color w:val="000000"/>
        </w:rPr>
        <w:t xml:space="preserve"> </w:t>
      </w:r>
      <w:r w:rsidRPr="007721FA">
        <w:rPr>
          <w:color w:val="000000"/>
        </w:rPr>
        <w:t xml:space="preserve">pour des groupes de 60 à 90 délégués de la société civile ainsi qu'un petit nombre d'observateurs et d'invités supplémentaires. Les séances de travail gravitent autour de trois parcours thématiques, chacun divisé en deux sous-thèmes avec des séances de travail "liées" (voir aussi le programme provisoire des JSC du FMMD 2014). Chacune des pistes thématiques et leurs séances de travail sont directement en rapport avec les recommandations des Journées de la Société Civile du FMMD 2012 (CSD 2012) et le plan quinquennal en 8 points (plan quinquennal), de même qu'avec la déclaration adoptée par les gouvernements au DHN (DHN décembre) de l'année dernière, comme suit: </w:t>
      </w:r>
    </w:p>
    <w:p w:rsidR="00DD3075" w:rsidRPr="007721FA" w:rsidRDefault="00DD3075" w:rsidP="00965087">
      <w:pPr>
        <w:ind w:left="-284" w:right="-284"/>
        <w:rPr>
          <w:color w:val="000000"/>
          <w:sz w:val="2"/>
          <w:szCs w:val="2"/>
        </w:rPr>
      </w:pPr>
    </w:p>
    <w:tbl>
      <w:tblPr>
        <w:tblW w:w="10206" w:type="dxa"/>
        <w:tblInd w:w="-460" w:type="dxa"/>
        <w:tblBorders>
          <w:top w:val="single" w:sz="2" w:space="0" w:color="7F7F7F"/>
          <w:left w:val="single" w:sz="2" w:space="0" w:color="7F7F7F"/>
          <w:bottom w:val="nil"/>
          <w:right w:val="dotted" w:sz="4" w:space="0" w:color="00000A"/>
          <w:insideH w:val="nil"/>
          <w:insideV w:val="dotted" w:sz="4" w:space="0" w:color="00000A"/>
        </w:tblBorders>
        <w:tblCellMar>
          <w:left w:w="107" w:type="dxa"/>
        </w:tblCellMar>
        <w:tblLook w:val="0000" w:firstRow="0" w:lastRow="0" w:firstColumn="0" w:lastColumn="0" w:noHBand="0" w:noVBand="0"/>
      </w:tblPr>
      <w:tblGrid>
        <w:gridCol w:w="2694"/>
        <w:gridCol w:w="2410"/>
        <w:gridCol w:w="5102"/>
      </w:tblGrid>
      <w:tr w:rsidR="00DD3075" w:rsidRPr="007721FA" w:rsidTr="00965087">
        <w:tc>
          <w:tcPr>
            <w:tcW w:w="10206" w:type="dxa"/>
            <w:gridSpan w:val="3"/>
            <w:tcBorders>
              <w:top w:val="single" w:sz="2" w:space="0" w:color="7F7F7F"/>
              <w:left w:val="single" w:sz="2" w:space="0" w:color="7F7F7F"/>
              <w:bottom w:val="nil"/>
              <w:right w:val="dotted" w:sz="4" w:space="0" w:color="00000A"/>
            </w:tcBorders>
            <w:shd w:val="clear" w:color="auto" w:fill="auto"/>
            <w:tcMar>
              <w:left w:w="107" w:type="dxa"/>
            </w:tcMar>
          </w:tcPr>
          <w:p w:rsidR="00DD3075" w:rsidRPr="003C3A19" w:rsidRDefault="00DD2505"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right="33"/>
              <w:jc w:val="center"/>
              <w:rPr>
                <w:b/>
              </w:rPr>
            </w:pPr>
            <w:r w:rsidRPr="00DD2505">
              <w:rPr>
                <w:b/>
              </w:rPr>
              <w:t>Thème 1: Définir les objectifs de la mobilité de main-d’œuvre, de la protection sociale et d’un travail décent</w:t>
            </w:r>
          </w:p>
        </w:tc>
      </w:tr>
      <w:tr w:rsidR="00DD3075" w:rsidRPr="007721FA" w:rsidTr="00965087">
        <w:trPr>
          <w:trHeight w:val="473"/>
        </w:trPr>
        <w:tc>
          <w:tcPr>
            <w:tcW w:w="10206" w:type="dxa"/>
            <w:gridSpan w:val="3"/>
            <w:tcBorders>
              <w:top w:val="nil"/>
              <w:left w:val="single" w:sz="2" w:space="0" w:color="7F7F7F"/>
              <w:bottom w:val="nil"/>
              <w:right w:val="dotted" w:sz="4" w:space="0" w:color="00000A"/>
            </w:tcBorders>
            <w:shd w:val="clear" w:color="auto" w:fill="auto"/>
            <w:tcMar>
              <w:left w:w="107" w:type="dxa"/>
            </w:tcMar>
          </w:tcPr>
          <w:p w:rsidR="00DD3075" w:rsidRPr="007721FA" w:rsidRDefault="00DD3075"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jc w:val="both"/>
              <w:rPr>
                <w:b/>
                <w:i/>
                <w:sz w:val="10"/>
                <w:szCs w:val="10"/>
              </w:rPr>
            </w:pPr>
          </w:p>
          <w:p w:rsidR="00DD3075" w:rsidRPr="007721FA" w:rsidRDefault="007721FA" w:rsidP="00DD250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line="100" w:lineRule="atLeast"/>
              <w:ind w:left="34"/>
              <w:jc w:val="both"/>
              <w:rPr>
                <w:b/>
              </w:rPr>
            </w:pPr>
            <w:r w:rsidRPr="007721FA">
              <w:rPr>
                <w:b/>
                <w:i/>
              </w:rPr>
              <w:t>Session 1.A:</w:t>
            </w:r>
            <w:r w:rsidRPr="007721FA">
              <w:rPr>
                <w:b/>
              </w:rPr>
              <w:t xml:space="preserve"> </w:t>
            </w:r>
            <w:r w:rsidR="00DD2505" w:rsidRPr="00DD2505">
              <w:rPr>
                <w:b/>
              </w:rPr>
              <w:t>Session 1.A: Garantir un travail décent et la protection sociale pour les migrants</w:t>
            </w:r>
          </w:p>
        </w:tc>
      </w:tr>
      <w:tr w:rsidR="00DD3075" w:rsidRPr="007721FA" w:rsidTr="00965087">
        <w:tc>
          <w:tcPr>
            <w:tcW w:w="2694" w:type="dxa"/>
            <w:tcBorders>
              <w:top w:val="nil"/>
              <w:left w:val="single" w:sz="2" w:space="0" w:color="7F7F7F"/>
              <w:bottom w:val="nil"/>
              <w:right w:val="dotted" w:sz="4" w:space="0" w:color="00000A"/>
            </w:tcBorders>
            <w:shd w:val="clear" w:color="auto" w:fill="auto"/>
            <w:tcMar>
              <w:left w:w="107" w:type="dxa"/>
            </w:tcMar>
          </w:tcPr>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jc w:val="both"/>
              <w:rPr>
                <w:i/>
              </w:rPr>
            </w:pPr>
            <w:r w:rsidRPr="007721FA">
              <w:rPr>
                <w:i/>
              </w:rPr>
              <w:t xml:space="preserve">JSC'12: rapport 2 / 5 </w:t>
            </w:r>
          </w:p>
        </w:tc>
        <w:tc>
          <w:tcPr>
            <w:tcW w:w="2410" w:type="dxa"/>
            <w:tcBorders>
              <w:top w:val="nil"/>
              <w:left w:val="dotted" w:sz="4" w:space="0" w:color="00000A"/>
              <w:bottom w:val="nil"/>
              <w:right w:val="dotted" w:sz="4" w:space="0" w:color="00000A"/>
            </w:tcBorders>
            <w:shd w:val="clear" w:color="auto" w:fill="auto"/>
            <w:tcMar>
              <w:left w:w="105" w:type="dxa"/>
            </w:tcMar>
          </w:tcPr>
          <w:p w:rsidR="00DD3075" w:rsidRPr="007721FA" w:rsidRDefault="007721FA" w:rsidP="00965087">
            <w:pPr>
              <w:spacing w:after="0" w:line="100" w:lineRule="atLeast"/>
              <w:ind w:left="34"/>
              <w:rPr>
                <w:i/>
              </w:rPr>
            </w:pPr>
            <w:r w:rsidRPr="007721FA">
              <w:rPr>
                <w:i/>
              </w:rPr>
              <w:t>Plan quinquennal: 5 &amp; 8</w:t>
            </w:r>
          </w:p>
        </w:tc>
        <w:tc>
          <w:tcPr>
            <w:tcW w:w="5102" w:type="dxa"/>
            <w:tcBorders>
              <w:top w:val="nil"/>
              <w:left w:val="dotted" w:sz="4" w:space="0" w:color="00000A"/>
              <w:bottom w:val="nil"/>
              <w:right w:val="single" w:sz="2" w:space="0" w:color="7F7F7F"/>
            </w:tcBorders>
            <w:shd w:val="clear" w:color="auto" w:fill="auto"/>
            <w:tcMar>
              <w:left w:w="105" w:type="dxa"/>
            </w:tcMar>
          </w:tcPr>
          <w:p w:rsidR="00DD3075" w:rsidRPr="007721FA" w:rsidRDefault="007721FA" w:rsidP="00965087">
            <w:pPr>
              <w:spacing w:after="0" w:line="100" w:lineRule="atLeast"/>
              <w:ind w:left="34"/>
              <w:rPr>
                <w:i/>
              </w:rPr>
            </w:pPr>
            <w:r w:rsidRPr="007721FA">
              <w:rPr>
                <w:i/>
              </w:rPr>
              <w:t>DHN Déc: par exemple 14, 15 + 18</w:t>
            </w:r>
          </w:p>
        </w:tc>
      </w:tr>
      <w:tr w:rsidR="00DD3075" w:rsidRPr="007721FA" w:rsidTr="00965087">
        <w:tc>
          <w:tcPr>
            <w:tcW w:w="10206" w:type="dxa"/>
            <w:gridSpan w:val="3"/>
            <w:tcBorders>
              <w:top w:val="nil"/>
              <w:left w:val="single" w:sz="2" w:space="0" w:color="7F7F7F"/>
              <w:bottom w:val="nil"/>
              <w:right w:val="dotted" w:sz="4" w:space="0" w:color="00000A"/>
            </w:tcBorders>
            <w:shd w:val="clear" w:color="auto" w:fill="auto"/>
            <w:tcMar>
              <w:left w:w="107" w:type="dxa"/>
            </w:tcMar>
          </w:tcPr>
          <w:p w:rsidR="00DD3075" w:rsidRPr="007721FA" w:rsidRDefault="00DD3075"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jc w:val="both"/>
              <w:rPr>
                <w:b/>
                <w:i/>
                <w:sz w:val="10"/>
                <w:szCs w:val="10"/>
              </w:rPr>
            </w:pPr>
          </w:p>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jc w:val="both"/>
              <w:rPr>
                <w:b/>
              </w:rPr>
            </w:pPr>
            <w:r w:rsidRPr="007721FA">
              <w:rPr>
                <w:b/>
                <w:i/>
              </w:rPr>
              <w:t>Session 1.B:</w:t>
            </w:r>
            <w:r w:rsidRPr="007721FA">
              <w:rPr>
                <w:b/>
              </w:rPr>
              <w:t xml:space="preserve"> Améliorer les pratiques de recrutement, de placement et d'emploi des travailleurs </w:t>
            </w:r>
            <w:r w:rsidR="00965087" w:rsidRPr="007721FA">
              <w:rPr>
                <w:b/>
              </w:rPr>
              <w:t>itinérants</w:t>
            </w:r>
          </w:p>
        </w:tc>
      </w:tr>
      <w:tr w:rsidR="00DD3075" w:rsidRPr="007721FA" w:rsidTr="00965087">
        <w:tc>
          <w:tcPr>
            <w:tcW w:w="2694" w:type="dxa"/>
            <w:tcBorders>
              <w:top w:val="nil"/>
              <w:left w:val="single" w:sz="2" w:space="0" w:color="7F7F7F"/>
              <w:bottom w:val="single" w:sz="2" w:space="0" w:color="7F7F7F"/>
              <w:right w:val="dotted" w:sz="4" w:space="0" w:color="00000A"/>
            </w:tcBorders>
            <w:shd w:val="clear" w:color="auto" w:fill="auto"/>
            <w:tcMar>
              <w:left w:w="107" w:type="dxa"/>
            </w:tcMar>
          </w:tcPr>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jc w:val="both"/>
              <w:rPr>
                <w:i/>
              </w:rPr>
            </w:pPr>
            <w:r w:rsidRPr="007721FA">
              <w:rPr>
                <w:i/>
              </w:rPr>
              <w:t>JSC'12: rapport 1</w:t>
            </w:r>
          </w:p>
        </w:tc>
        <w:tc>
          <w:tcPr>
            <w:tcW w:w="2410" w:type="dxa"/>
            <w:tcBorders>
              <w:top w:val="nil"/>
              <w:left w:val="dotted" w:sz="4" w:space="0" w:color="00000A"/>
              <w:bottom w:val="single" w:sz="2" w:space="0" w:color="7F7F7F"/>
              <w:right w:val="dotted" w:sz="4" w:space="0" w:color="00000A"/>
            </w:tcBorders>
            <w:shd w:val="clear" w:color="auto" w:fill="auto"/>
            <w:tcMar>
              <w:left w:w="105" w:type="dxa"/>
            </w:tcMar>
          </w:tcPr>
          <w:p w:rsidR="00DD3075" w:rsidRPr="007721FA" w:rsidRDefault="007721FA" w:rsidP="00965087">
            <w:pPr>
              <w:spacing w:after="0" w:line="100" w:lineRule="atLeast"/>
              <w:ind w:left="34"/>
              <w:rPr>
                <w:i/>
              </w:rPr>
            </w:pPr>
            <w:r w:rsidRPr="007721FA">
              <w:rPr>
                <w:i/>
              </w:rPr>
              <w:t>Plan quinquennal: 7</w:t>
            </w:r>
          </w:p>
        </w:tc>
        <w:tc>
          <w:tcPr>
            <w:tcW w:w="5102" w:type="dxa"/>
            <w:tcBorders>
              <w:top w:val="nil"/>
              <w:left w:val="dotted" w:sz="4" w:space="0" w:color="00000A"/>
              <w:bottom w:val="single" w:sz="2" w:space="0" w:color="7F7F7F"/>
              <w:right w:val="single" w:sz="2" w:space="0" w:color="7F7F7F"/>
            </w:tcBorders>
            <w:shd w:val="clear" w:color="auto" w:fill="auto"/>
            <w:tcMar>
              <w:left w:w="105" w:type="dxa"/>
            </w:tcMar>
          </w:tcPr>
          <w:p w:rsidR="00DD3075" w:rsidRPr="007721FA" w:rsidRDefault="007721FA" w:rsidP="00965087">
            <w:pPr>
              <w:spacing w:after="0" w:line="100" w:lineRule="atLeast"/>
              <w:ind w:left="34"/>
              <w:rPr>
                <w:i/>
              </w:rPr>
            </w:pPr>
            <w:r w:rsidRPr="007721FA">
              <w:rPr>
                <w:i/>
              </w:rPr>
              <w:t>DHN Déc: Pas de référence spécifique</w:t>
            </w:r>
          </w:p>
          <w:p w:rsidR="00DD3075" w:rsidRPr="007721FA" w:rsidRDefault="00DD3075" w:rsidP="00965087">
            <w:pPr>
              <w:spacing w:after="0" w:line="100" w:lineRule="atLeast"/>
              <w:ind w:left="34"/>
              <w:rPr>
                <w:i/>
                <w:sz w:val="4"/>
                <w:szCs w:val="4"/>
              </w:rPr>
            </w:pPr>
          </w:p>
        </w:tc>
      </w:tr>
    </w:tbl>
    <w:p w:rsidR="00DD3075" w:rsidRPr="007721FA" w:rsidRDefault="00DD3075" w:rsidP="00965087">
      <w:pPr>
        <w:ind w:left="-284" w:right="-284"/>
        <w:rPr>
          <w:sz w:val="2"/>
          <w:szCs w:val="2"/>
        </w:rPr>
      </w:pPr>
    </w:p>
    <w:tbl>
      <w:tblPr>
        <w:tblW w:w="10206" w:type="dxa"/>
        <w:tblInd w:w="-460" w:type="dxa"/>
        <w:tblBorders>
          <w:top w:val="single" w:sz="2" w:space="0" w:color="7F7F7F"/>
          <w:left w:val="single" w:sz="2" w:space="0" w:color="7F7F7F"/>
          <w:bottom w:val="single" w:sz="4" w:space="0" w:color="767171"/>
          <w:right w:val="single" w:sz="4" w:space="0" w:color="767171"/>
          <w:insideV w:val="dotted" w:sz="4" w:space="0" w:color="00000A"/>
        </w:tblBorders>
        <w:tblCellMar>
          <w:left w:w="107" w:type="dxa"/>
        </w:tblCellMar>
        <w:tblLook w:val="0000" w:firstRow="0" w:lastRow="0" w:firstColumn="0" w:lastColumn="0" w:noHBand="0" w:noVBand="0"/>
      </w:tblPr>
      <w:tblGrid>
        <w:gridCol w:w="2694"/>
        <w:gridCol w:w="2409"/>
        <w:gridCol w:w="5103"/>
      </w:tblGrid>
      <w:tr w:rsidR="00DD3075" w:rsidRPr="007721FA" w:rsidTr="003C3A19">
        <w:tc>
          <w:tcPr>
            <w:tcW w:w="10206" w:type="dxa"/>
            <w:gridSpan w:val="3"/>
            <w:shd w:val="clear" w:color="auto" w:fill="auto"/>
            <w:tcMar>
              <w:left w:w="107" w:type="dxa"/>
            </w:tcMar>
          </w:tcPr>
          <w:p w:rsidR="00DD3075" w:rsidRPr="003C3A19"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284" w:right="-284"/>
              <w:jc w:val="center"/>
              <w:rPr>
                <w:b/>
              </w:rPr>
            </w:pPr>
            <w:r w:rsidRPr="003C3A19">
              <w:rPr>
                <w:b/>
              </w:rPr>
              <w:t>Thème 2: Objectifs de mise en forme pour la protection des travailleurs itinérants et des familles</w:t>
            </w:r>
          </w:p>
        </w:tc>
      </w:tr>
      <w:tr w:rsidR="00DD3075" w:rsidRPr="007721FA" w:rsidTr="003C3A19">
        <w:tc>
          <w:tcPr>
            <w:tcW w:w="10206" w:type="dxa"/>
            <w:gridSpan w:val="3"/>
            <w:shd w:val="clear" w:color="auto" w:fill="auto"/>
            <w:tcMar>
              <w:left w:w="107" w:type="dxa"/>
            </w:tcMar>
          </w:tcPr>
          <w:p w:rsidR="00DD3075" w:rsidRPr="007721FA" w:rsidRDefault="00DD3075"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463" w:right="-284" w:hanging="1416"/>
              <w:jc w:val="both"/>
              <w:rPr>
                <w:i/>
                <w:sz w:val="10"/>
                <w:szCs w:val="10"/>
              </w:rPr>
            </w:pPr>
          </w:p>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463" w:right="-284" w:hanging="429"/>
              <w:jc w:val="both"/>
              <w:rPr>
                <w:b/>
              </w:rPr>
            </w:pPr>
            <w:r w:rsidRPr="007721FA">
              <w:rPr>
                <w:b/>
                <w:i/>
              </w:rPr>
              <w:t>Session 2.A:</w:t>
            </w:r>
            <w:r w:rsidRPr="007721FA">
              <w:rPr>
                <w:b/>
              </w:rPr>
              <w:t xml:space="preserve"> </w:t>
            </w:r>
            <w:r w:rsidR="00DD2505" w:rsidRPr="00DD2505">
              <w:rPr>
                <w:b/>
              </w:rPr>
              <w:t>Protection et responsabilisation des migrants en détresse, en transit, aux frontières et en détention</w:t>
            </w:r>
          </w:p>
        </w:tc>
      </w:tr>
      <w:tr w:rsidR="00965087" w:rsidRPr="007721FA" w:rsidTr="003C3A19">
        <w:tc>
          <w:tcPr>
            <w:tcW w:w="2694" w:type="dxa"/>
            <w:shd w:val="clear" w:color="auto" w:fill="auto"/>
            <w:tcMar>
              <w:left w:w="107" w:type="dxa"/>
            </w:tcMar>
          </w:tcPr>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jc w:val="both"/>
              <w:rPr>
                <w:i/>
              </w:rPr>
            </w:pPr>
            <w:r w:rsidRPr="007721FA">
              <w:rPr>
                <w:i/>
              </w:rPr>
              <w:t>JSC'12: rapports 5 +  6</w:t>
            </w:r>
          </w:p>
        </w:tc>
        <w:tc>
          <w:tcPr>
            <w:tcW w:w="2409" w:type="dxa"/>
            <w:shd w:val="clear" w:color="auto" w:fill="auto"/>
            <w:tcMar>
              <w:left w:w="105" w:type="dxa"/>
            </w:tcMar>
          </w:tcPr>
          <w:p w:rsidR="00DD3075" w:rsidRPr="007721FA" w:rsidRDefault="007721FA" w:rsidP="00965087">
            <w:pPr>
              <w:spacing w:after="0" w:line="100" w:lineRule="atLeast"/>
              <w:ind w:left="36" w:right="-284"/>
              <w:rPr>
                <w:i/>
              </w:rPr>
            </w:pPr>
            <w:r w:rsidRPr="007721FA">
              <w:rPr>
                <w:i/>
              </w:rPr>
              <w:t>Plan quinquennal: 3 / 5</w:t>
            </w:r>
          </w:p>
        </w:tc>
        <w:tc>
          <w:tcPr>
            <w:tcW w:w="5103" w:type="dxa"/>
            <w:shd w:val="clear" w:color="auto" w:fill="auto"/>
            <w:tcMar>
              <w:left w:w="105" w:type="dxa"/>
            </w:tcMar>
          </w:tcPr>
          <w:p w:rsidR="00DD3075" w:rsidRPr="007721FA" w:rsidRDefault="007721FA" w:rsidP="00965087">
            <w:pPr>
              <w:spacing w:after="0" w:line="100" w:lineRule="atLeast"/>
              <w:ind w:left="37" w:right="-284"/>
              <w:rPr>
                <w:i/>
              </w:rPr>
            </w:pPr>
            <w:r w:rsidRPr="007721FA">
              <w:rPr>
                <w:i/>
              </w:rPr>
              <w:t>DHN Déc: par exemple 10 + 23</w:t>
            </w:r>
          </w:p>
        </w:tc>
      </w:tr>
      <w:tr w:rsidR="00DD3075" w:rsidRPr="007721FA" w:rsidTr="003C3A19">
        <w:trPr>
          <w:trHeight w:val="73"/>
        </w:trPr>
        <w:tc>
          <w:tcPr>
            <w:tcW w:w="10206" w:type="dxa"/>
            <w:gridSpan w:val="3"/>
            <w:shd w:val="clear" w:color="auto" w:fill="auto"/>
            <w:tcMar>
              <w:left w:w="107" w:type="dxa"/>
            </w:tcMar>
          </w:tcPr>
          <w:p w:rsidR="00DD3075" w:rsidRPr="007721FA" w:rsidRDefault="00DD3075" w:rsidP="0096508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284" w:right="-284"/>
              <w:rPr>
                <w:b/>
                <w:i/>
                <w:sz w:val="10"/>
                <w:szCs w:val="10"/>
              </w:rPr>
            </w:pPr>
          </w:p>
          <w:p w:rsidR="00DD3075" w:rsidRPr="007721FA" w:rsidRDefault="007721FA" w:rsidP="0096508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right="-284"/>
              <w:rPr>
                <w:b/>
              </w:rPr>
            </w:pPr>
            <w:r w:rsidRPr="007721FA">
              <w:rPr>
                <w:b/>
                <w:i/>
              </w:rPr>
              <w:t>Session 2.B:</w:t>
            </w:r>
            <w:r w:rsidRPr="007721FA">
              <w:rPr>
                <w:b/>
              </w:rPr>
              <w:t xml:space="preserve"> </w:t>
            </w:r>
            <w:r w:rsidR="00DD2505" w:rsidRPr="00DD2505">
              <w:rPr>
                <w:b/>
              </w:rPr>
              <w:t>Protection et responsabilisation des enfants dans le contexte de la migration</w:t>
            </w:r>
          </w:p>
        </w:tc>
      </w:tr>
      <w:tr w:rsidR="00965087" w:rsidRPr="007721FA" w:rsidTr="003C3A19">
        <w:trPr>
          <w:trHeight w:val="320"/>
        </w:trPr>
        <w:tc>
          <w:tcPr>
            <w:tcW w:w="2694" w:type="dxa"/>
            <w:shd w:val="clear" w:color="auto" w:fill="auto"/>
            <w:tcMar>
              <w:left w:w="107" w:type="dxa"/>
            </w:tcMar>
          </w:tcPr>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right="317"/>
              <w:jc w:val="both"/>
              <w:rPr>
                <w:i/>
              </w:rPr>
            </w:pPr>
            <w:r w:rsidRPr="007721FA">
              <w:rPr>
                <w:i/>
              </w:rPr>
              <w:t xml:space="preserve">CSD'12: référence dans le rapport 7 </w:t>
            </w:r>
          </w:p>
        </w:tc>
        <w:tc>
          <w:tcPr>
            <w:tcW w:w="2409" w:type="dxa"/>
            <w:shd w:val="clear" w:color="auto" w:fill="auto"/>
            <w:tcMar>
              <w:left w:w="105" w:type="dxa"/>
            </w:tcMar>
          </w:tcPr>
          <w:p w:rsidR="00DD3075" w:rsidRPr="007721FA" w:rsidRDefault="007721FA" w:rsidP="00965087">
            <w:pPr>
              <w:spacing w:after="0" w:line="100" w:lineRule="atLeast"/>
              <w:ind w:left="34" w:right="-284"/>
              <w:rPr>
                <w:i/>
              </w:rPr>
            </w:pPr>
            <w:r w:rsidRPr="007721FA">
              <w:rPr>
                <w:i/>
              </w:rPr>
              <w:t>5 ans: 4</w:t>
            </w:r>
          </w:p>
        </w:tc>
        <w:tc>
          <w:tcPr>
            <w:tcW w:w="5103" w:type="dxa"/>
            <w:shd w:val="clear" w:color="auto" w:fill="auto"/>
            <w:tcMar>
              <w:left w:w="105" w:type="dxa"/>
            </w:tcMar>
          </w:tcPr>
          <w:p w:rsidR="00DD3075" w:rsidRPr="007721FA" w:rsidRDefault="007721FA" w:rsidP="00965087">
            <w:pPr>
              <w:spacing w:after="0" w:line="100" w:lineRule="atLeast"/>
              <w:ind w:left="34" w:right="-284"/>
              <w:rPr>
                <w:i/>
              </w:rPr>
            </w:pPr>
            <w:r w:rsidRPr="007721FA">
              <w:rPr>
                <w:i/>
              </w:rPr>
              <w:t>DHN Dec: par exemple, 10, 13 19</w:t>
            </w:r>
          </w:p>
          <w:p w:rsidR="00DD3075" w:rsidRPr="007721FA" w:rsidRDefault="00DD3075" w:rsidP="00965087">
            <w:pPr>
              <w:spacing w:after="0" w:line="100" w:lineRule="atLeast"/>
              <w:ind w:left="34" w:right="-284"/>
              <w:rPr>
                <w:i/>
                <w:sz w:val="4"/>
                <w:szCs w:val="4"/>
              </w:rPr>
            </w:pPr>
          </w:p>
        </w:tc>
      </w:tr>
    </w:tbl>
    <w:p w:rsidR="00965087" w:rsidRDefault="00965087" w:rsidP="003C3A19">
      <w:pPr>
        <w:ind w:right="-284"/>
        <w:rPr>
          <w:sz w:val="2"/>
          <w:szCs w:val="2"/>
        </w:rPr>
      </w:pPr>
    </w:p>
    <w:p w:rsidR="00965087" w:rsidRPr="007721FA" w:rsidRDefault="00965087" w:rsidP="00965087">
      <w:pPr>
        <w:ind w:left="-284" w:right="-284"/>
        <w:rPr>
          <w:sz w:val="2"/>
          <w:szCs w:val="2"/>
        </w:rPr>
      </w:pPr>
    </w:p>
    <w:tbl>
      <w:tblPr>
        <w:tblW w:w="10206" w:type="dxa"/>
        <w:tblInd w:w="-460" w:type="dxa"/>
        <w:tblBorders>
          <w:top w:val="single" w:sz="2" w:space="0" w:color="7F7F7F"/>
          <w:left w:val="single" w:sz="2" w:space="0" w:color="7F7F7F"/>
          <w:bottom w:val="single" w:sz="2" w:space="0" w:color="7F7F7F"/>
          <w:right w:val="single" w:sz="2" w:space="0" w:color="7F7F7F"/>
          <w:insideV w:val="dotted" w:sz="4" w:space="0" w:color="00000A"/>
        </w:tblBorders>
        <w:tblCellMar>
          <w:left w:w="107" w:type="dxa"/>
        </w:tblCellMar>
        <w:tblLook w:val="0000" w:firstRow="0" w:lastRow="0" w:firstColumn="0" w:lastColumn="0" w:noHBand="0" w:noVBand="0"/>
      </w:tblPr>
      <w:tblGrid>
        <w:gridCol w:w="3049"/>
        <w:gridCol w:w="2480"/>
        <w:gridCol w:w="4677"/>
      </w:tblGrid>
      <w:tr w:rsidR="00DD3075" w:rsidRPr="007721FA" w:rsidTr="003C3A19">
        <w:tc>
          <w:tcPr>
            <w:tcW w:w="10206" w:type="dxa"/>
            <w:gridSpan w:val="3"/>
            <w:shd w:val="clear" w:color="auto" w:fill="auto"/>
            <w:tcMar>
              <w:left w:w="107" w:type="dxa"/>
            </w:tcMar>
          </w:tcPr>
          <w:p w:rsidR="00DD3075" w:rsidRPr="003C3A19" w:rsidRDefault="00D83BD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269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4" w:firstLine="9"/>
              <w:jc w:val="center"/>
              <w:rPr>
                <w:b/>
              </w:rPr>
            </w:pPr>
            <w:r w:rsidRPr="00D83BDA">
              <w:rPr>
                <w:b/>
              </w:rPr>
              <w:t>Thème</w:t>
            </w:r>
            <w:r>
              <w:rPr>
                <w:b/>
              </w:rPr>
              <w:t xml:space="preserve"> 3 : </w:t>
            </w:r>
            <w:r w:rsidRPr="00D83BDA">
              <w:rPr>
                <w:b/>
              </w:rPr>
              <w:t>Définir les objectifs de responsabilisation des migrants et des communautés pour favoriser l’inclusion sociale et le développement humain</w:t>
            </w:r>
          </w:p>
        </w:tc>
      </w:tr>
      <w:tr w:rsidR="00DD3075" w:rsidRPr="007721FA" w:rsidTr="003C3A19">
        <w:tc>
          <w:tcPr>
            <w:tcW w:w="10206" w:type="dxa"/>
            <w:gridSpan w:val="3"/>
            <w:shd w:val="clear" w:color="auto" w:fill="auto"/>
            <w:tcMar>
              <w:left w:w="107" w:type="dxa"/>
            </w:tcMar>
          </w:tcPr>
          <w:p w:rsidR="00DD3075" w:rsidRPr="007721FA" w:rsidRDefault="00DD3075"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53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5" w:right="-284"/>
              <w:jc w:val="both"/>
              <w:rPr>
                <w:i/>
                <w:sz w:val="10"/>
                <w:szCs w:val="10"/>
              </w:rPr>
            </w:pPr>
          </w:p>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53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5"/>
              <w:jc w:val="both"/>
              <w:rPr>
                <w:b/>
              </w:rPr>
            </w:pPr>
            <w:r w:rsidRPr="007721FA">
              <w:rPr>
                <w:b/>
                <w:i/>
              </w:rPr>
              <w:t>Session 3.A:</w:t>
            </w:r>
            <w:r w:rsidRPr="007721FA">
              <w:rPr>
                <w:b/>
              </w:rPr>
              <w:t xml:space="preserve"> </w:t>
            </w:r>
            <w:r w:rsidR="00D83BDA" w:rsidRPr="00D83BDA">
              <w:rPr>
                <w:b/>
              </w:rPr>
              <w:t>Stimuler la contribution des migrants et de la diaspora à la création d’emplois et au développement, dans les pays de résidence, d’origine et de culture</w:t>
            </w:r>
          </w:p>
        </w:tc>
      </w:tr>
      <w:tr w:rsidR="00DD3075" w:rsidRPr="007721FA" w:rsidTr="003C3A19">
        <w:tc>
          <w:tcPr>
            <w:tcW w:w="3049" w:type="dxa"/>
            <w:shd w:val="clear" w:color="auto" w:fill="auto"/>
            <w:tcMar>
              <w:left w:w="107" w:type="dxa"/>
            </w:tcMar>
          </w:tcPr>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53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5" w:right="-284"/>
              <w:jc w:val="both"/>
              <w:rPr>
                <w:i/>
              </w:rPr>
            </w:pPr>
            <w:r w:rsidRPr="007721FA">
              <w:rPr>
                <w:i/>
              </w:rPr>
              <w:t xml:space="preserve">JSC'12: rapports 3 + 4 </w:t>
            </w:r>
          </w:p>
        </w:tc>
        <w:tc>
          <w:tcPr>
            <w:tcW w:w="2480" w:type="dxa"/>
            <w:shd w:val="clear" w:color="auto" w:fill="auto"/>
            <w:tcMar>
              <w:left w:w="105" w:type="dxa"/>
            </w:tcMar>
          </w:tcPr>
          <w:p w:rsidR="00DD3075" w:rsidRPr="007721FA" w:rsidRDefault="007721FA" w:rsidP="00965087">
            <w:pPr>
              <w:tabs>
                <w:tab w:val="left" w:pos="9533"/>
              </w:tabs>
              <w:spacing w:after="0" w:line="100" w:lineRule="atLeast"/>
              <w:ind w:left="35" w:right="-284"/>
              <w:rPr>
                <w:i/>
              </w:rPr>
            </w:pPr>
            <w:r w:rsidRPr="007721FA">
              <w:rPr>
                <w:i/>
              </w:rPr>
              <w:t>Plan quinquennal: 1 + 2</w:t>
            </w:r>
          </w:p>
        </w:tc>
        <w:tc>
          <w:tcPr>
            <w:tcW w:w="4677" w:type="dxa"/>
            <w:shd w:val="clear" w:color="auto" w:fill="auto"/>
            <w:tcMar>
              <w:left w:w="105" w:type="dxa"/>
            </w:tcMar>
          </w:tcPr>
          <w:p w:rsidR="00DD3075" w:rsidRPr="007721FA" w:rsidRDefault="00965087" w:rsidP="00965087">
            <w:pPr>
              <w:tabs>
                <w:tab w:val="left" w:pos="9533"/>
              </w:tabs>
              <w:spacing w:after="0" w:line="100" w:lineRule="atLeast"/>
              <w:ind w:left="35" w:right="-284"/>
              <w:rPr>
                <w:i/>
              </w:rPr>
            </w:pPr>
            <w:r>
              <w:rPr>
                <w:i/>
              </w:rPr>
              <w:t>DHN Dé</w:t>
            </w:r>
            <w:r w:rsidR="007721FA" w:rsidRPr="007721FA">
              <w:rPr>
                <w:i/>
              </w:rPr>
              <w:t>c: par exemple 9</w:t>
            </w:r>
          </w:p>
        </w:tc>
      </w:tr>
      <w:tr w:rsidR="00DD3075" w:rsidRPr="007721FA" w:rsidTr="003C3A19">
        <w:trPr>
          <w:trHeight w:val="602"/>
        </w:trPr>
        <w:tc>
          <w:tcPr>
            <w:tcW w:w="10206" w:type="dxa"/>
            <w:gridSpan w:val="3"/>
            <w:shd w:val="clear" w:color="auto" w:fill="auto"/>
            <w:tcMar>
              <w:left w:w="107" w:type="dxa"/>
            </w:tcMar>
          </w:tcPr>
          <w:p w:rsidR="00DD3075" w:rsidRPr="007721FA" w:rsidRDefault="00DD3075"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53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5" w:right="-284"/>
              <w:jc w:val="both"/>
              <w:rPr>
                <w:b/>
                <w:i/>
                <w:sz w:val="10"/>
                <w:szCs w:val="10"/>
              </w:rPr>
            </w:pPr>
          </w:p>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53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5"/>
              <w:jc w:val="both"/>
              <w:rPr>
                <w:b/>
              </w:rPr>
            </w:pPr>
            <w:r w:rsidRPr="007721FA">
              <w:rPr>
                <w:b/>
                <w:i/>
              </w:rPr>
              <w:t>Session 3.B</w:t>
            </w:r>
            <w:r w:rsidR="003C3A19" w:rsidRPr="007721FA">
              <w:rPr>
                <w:b/>
                <w:i/>
              </w:rPr>
              <w:t>:</w:t>
            </w:r>
            <w:r w:rsidR="003C3A19" w:rsidRPr="007721FA">
              <w:rPr>
                <w:b/>
              </w:rPr>
              <w:t xml:space="preserve"> </w:t>
            </w:r>
            <w:r w:rsidR="00D83BDA" w:rsidRPr="00D83BDA">
              <w:rPr>
                <w:b/>
              </w:rPr>
              <w:t>Favoriser les organisations de migrants et la diaspora en tant que investisseurs sociaux transnationaux et défenseurs politiques de l’accès aux services et des réformes de la politique publique</w:t>
            </w:r>
          </w:p>
        </w:tc>
      </w:tr>
      <w:tr w:rsidR="00DD3075" w:rsidRPr="007721FA" w:rsidTr="003C3A19">
        <w:tc>
          <w:tcPr>
            <w:tcW w:w="3049" w:type="dxa"/>
            <w:shd w:val="clear" w:color="auto" w:fill="auto"/>
            <w:tcMar>
              <w:left w:w="107" w:type="dxa"/>
            </w:tcMar>
          </w:tcPr>
          <w:p w:rsidR="00DD3075" w:rsidRPr="007721FA" w:rsidRDefault="007721FA" w:rsidP="00965087">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694"/>
                <w:tab w:val="left" w:pos="2832"/>
                <w:tab w:val="left" w:pos="3540"/>
                <w:tab w:val="left" w:pos="4248"/>
                <w:tab w:val="left" w:pos="4956"/>
                <w:tab w:val="left" w:pos="5664"/>
                <w:tab w:val="left" w:pos="6372"/>
                <w:tab w:val="left" w:pos="7080"/>
                <w:tab w:val="left" w:pos="7788"/>
                <w:tab w:val="left" w:pos="8496"/>
                <w:tab w:val="left" w:pos="9204"/>
                <w:tab w:val="left" w:pos="953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100" w:lineRule="atLeast"/>
              <w:ind w:left="35" w:right="-284"/>
              <w:jc w:val="both"/>
            </w:pPr>
            <w:r w:rsidRPr="007721FA">
              <w:rPr>
                <w:i/>
              </w:rPr>
              <w:t>JSC'12: rapports</w:t>
            </w:r>
            <w:r w:rsidRPr="007721FA">
              <w:t xml:space="preserve"> 3 + 4 </w:t>
            </w:r>
          </w:p>
        </w:tc>
        <w:tc>
          <w:tcPr>
            <w:tcW w:w="2480" w:type="dxa"/>
            <w:shd w:val="clear" w:color="auto" w:fill="auto"/>
            <w:tcMar>
              <w:left w:w="105" w:type="dxa"/>
            </w:tcMar>
          </w:tcPr>
          <w:p w:rsidR="00DD3075" w:rsidRPr="007721FA" w:rsidRDefault="007721FA" w:rsidP="00965087">
            <w:pPr>
              <w:tabs>
                <w:tab w:val="left" w:pos="9533"/>
              </w:tabs>
              <w:spacing w:after="0" w:line="100" w:lineRule="atLeast"/>
              <w:ind w:left="35" w:right="-284"/>
            </w:pPr>
            <w:r w:rsidRPr="007721FA">
              <w:rPr>
                <w:i/>
              </w:rPr>
              <w:t>Plan quinquennal:</w:t>
            </w:r>
            <w:r w:rsidRPr="007721FA">
              <w:t xml:space="preserve"> 1 + 2</w:t>
            </w:r>
          </w:p>
        </w:tc>
        <w:tc>
          <w:tcPr>
            <w:tcW w:w="4677" w:type="dxa"/>
            <w:shd w:val="clear" w:color="auto" w:fill="auto"/>
            <w:tcMar>
              <w:left w:w="105" w:type="dxa"/>
            </w:tcMar>
          </w:tcPr>
          <w:p w:rsidR="00DD3075" w:rsidRPr="007721FA" w:rsidRDefault="007721FA" w:rsidP="00965087">
            <w:pPr>
              <w:tabs>
                <w:tab w:val="left" w:pos="9533"/>
              </w:tabs>
              <w:spacing w:after="0" w:line="100" w:lineRule="atLeast"/>
              <w:ind w:left="35" w:right="-284"/>
            </w:pPr>
            <w:r w:rsidRPr="007721FA">
              <w:rPr>
                <w:i/>
              </w:rPr>
              <w:t>DHN Déc</w:t>
            </w:r>
            <w:r w:rsidRPr="007721FA">
              <w:t>: par exemple 9</w:t>
            </w:r>
          </w:p>
          <w:p w:rsidR="00DD3075" w:rsidRPr="007721FA" w:rsidRDefault="00DD3075" w:rsidP="00965087">
            <w:pPr>
              <w:tabs>
                <w:tab w:val="left" w:pos="9533"/>
              </w:tabs>
              <w:spacing w:after="0" w:line="100" w:lineRule="atLeast"/>
              <w:ind w:left="35" w:right="-284"/>
              <w:rPr>
                <w:sz w:val="4"/>
                <w:szCs w:val="4"/>
              </w:rPr>
            </w:pPr>
          </w:p>
        </w:tc>
      </w:tr>
    </w:tbl>
    <w:p w:rsidR="00DD3075" w:rsidRPr="007721FA" w:rsidRDefault="00DD3075" w:rsidP="00965087">
      <w:pPr>
        <w:spacing w:after="0" w:line="100" w:lineRule="atLeast"/>
        <w:ind w:left="-284" w:right="-284"/>
        <w:jc w:val="both"/>
        <w:rPr>
          <w:color w:val="000000"/>
        </w:rPr>
      </w:pPr>
    </w:p>
    <w:p w:rsidR="00DD3075" w:rsidRDefault="007721FA" w:rsidP="00965087">
      <w:pPr>
        <w:spacing w:after="0" w:line="100" w:lineRule="atLeast"/>
        <w:ind w:left="-567" w:right="-567"/>
        <w:jc w:val="both"/>
        <w:rPr>
          <w:color w:val="000000"/>
        </w:rPr>
      </w:pPr>
      <w:r w:rsidRPr="007721FA">
        <w:rPr>
          <w:color w:val="000000"/>
        </w:rPr>
        <w:t xml:space="preserve">En plus des séances de travail thématiques, des séances plénières spéciales seront consacrées aux mouvements et à la dynamique des Dialogues de Haut Niveau de l'an dernier, à la migration, aux migrants et au programme de développement mondial pour l'après-2015, et à la mise en œuvre locale. </w:t>
      </w:r>
    </w:p>
    <w:p w:rsidR="003C3A19" w:rsidRDefault="003C3A19" w:rsidP="003C3A19">
      <w:pPr>
        <w:ind w:right="-567"/>
        <w:rPr>
          <w:b/>
          <w:color w:val="92D050"/>
          <w:sz w:val="26"/>
        </w:rPr>
      </w:pPr>
    </w:p>
    <w:p w:rsidR="00DD3075" w:rsidRPr="007721FA" w:rsidRDefault="007721FA" w:rsidP="00965087">
      <w:pPr>
        <w:ind w:left="-567" w:right="-567"/>
        <w:rPr>
          <w:b/>
          <w:i/>
          <w:color w:val="92D050"/>
          <w:sz w:val="26"/>
        </w:rPr>
      </w:pPr>
      <w:r w:rsidRPr="007721FA">
        <w:rPr>
          <w:b/>
          <w:color w:val="92D050"/>
          <w:sz w:val="26"/>
        </w:rPr>
        <w:t>Façonner des buts, des objectifs et des indicateurs; changement et pratiques sur le terrain - q</w:t>
      </w:r>
      <w:r w:rsidRPr="007721FA">
        <w:rPr>
          <w:b/>
          <w:i/>
          <w:color w:val="92D050"/>
          <w:sz w:val="26"/>
        </w:rPr>
        <w:t>uestions directrices pour les séances de travail</w:t>
      </w:r>
    </w:p>
    <w:p w:rsidR="00DD3075" w:rsidRPr="007721FA" w:rsidRDefault="007721FA" w:rsidP="00965087">
      <w:pPr>
        <w:spacing w:after="0" w:line="100" w:lineRule="atLeast"/>
        <w:ind w:left="-567" w:right="-567"/>
        <w:jc w:val="both"/>
        <w:rPr>
          <w:color w:val="000000"/>
        </w:rPr>
      </w:pPr>
      <w:r w:rsidRPr="007721FA">
        <w:rPr>
          <w:color w:val="000000"/>
        </w:rPr>
        <w:t xml:space="preserve">Toutes les séances sur le programme de la société civile du FMMD 2014 se concentreront sur la formulation des objectifs, cibles et indicateurs dont les progrès pourront être mesurés dans les prochaines années. Dans le même temps chaque session vise également à inspirer et mettre en valeur les pratiques et changements actuellement en œuvre sur le terrain. Par conséquent chacune des séances de travail sera structurée autour des quatre séries de questions d'orientation suivantes: </w:t>
      </w:r>
    </w:p>
    <w:p w:rsidR="00DD3075" w:rsidRPr="007721FA" w:rsidRDefault="00DD3075" w:rsidP="00965087">
      <w:pPr>
        <w:spacing w:after="0" w:line="100" w:lineRule="atLeast"/>
        <w:ind w:left="-284" w:right="-284"/>
        <w:jc w:val="both"/>
        <w:rPr>
          <w:color w:val="000000"/>
        </w:rPr>
      </w:pPr>
    </w:p>
    <w:tbl>
      <w:tblPr>
        <w:tblW w:w="10206"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6"/>
      </w:tblGrid>
      <w:tr w:rsidR="00DD3075" w:rsidRPr="007721FA" w:rsidTr="00965087">
        <w:trPr>
          <w:trHeight w:val="4377"/>
        </w:trPr>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3075" w:rsidRPr="007721FA" w:rsidRDefault="007721FA" w:rsidP="00965087">
            <w:pPr>
              <w:pStyle w:val="Liststycke"/>
              <w:numPr>
                <w:ilvl w:val="0"/>
                <w:numId w:val="1"/>
              </w:numPr>
              <w:spacing w:after="0" w:line="100" w:lineRule="atLeast"/>
              <w:ind w:left="318" w:hanging="389"/>
              <w:rPr>
                <w:b/>
              </w:rPr>
            </w:pPr>
            <w:r w:rsidRPr="007721FA">
              <w:rPr>
                <w:b/>
              </w:rPr>
              <w:t>Progrès</w:t>
            </w:r>
          </w:p>
          <w:p w:rsidR="00DD3075" w:rsidRPr="007721FA" w:rsidRDefault="007721FA" w:rsidP="00965087">
            <w:pPr>
              <w:spacing w:after="0" w:line="100" w:lineRule="atLeast"/>
              <w:ind w:left="-71"/>
              <w:jc w:val="both"/>
            </w:pPr>
            <w:r w:rsidRPr="007721FA">
              <w:rPr>
                <w:u w:val="single"/>
              </w:rPr>
              <w:t>Quel progrès (le cas échéant) ont été réalisés dans les dernières années</w:t>
            </w:r>
            <w:r w:rsidRPr="007721FA">
              <w:t xml:space="preserve"> en ce qui concerne le thème de votre session de travail? en termes de programme, politiques et les pratiques modifiés, coopération de la société civile et coopération entre la société civile et les gouvernements? </w:t>
            </w:r>
          </w:p>
          <w:p w:rsidR="00DD3075" w:rsidRPr="007721FA" w:rsidRDefault="00DD3075" w:rsidP="00965087">
            <w:pPr>
              <w:spacing w:after="0" w:line="100" w:lineRule="atLeast"/>
              <w:ind w:left="318"/>
              <w:jc w:val="both"/>
            </w:pPr>
          </w:p>
          <w:p w:rsidR="00DD3075" w:rsidRPr="007721FA" w:rsidRDefault="007721FA" w:rsidP="00965087">
            <w:pPr>
              <w:pStyle w:val="Liststycke"/>
              <w:numPr>
                <w:ilvl w:val="0"/>
                <w:numId w:val="1"/>
              </w:numPr>
              <w:spacing w:after="0" w:line="100" w:lineRule="atLeast"/>
              <w:ind w:left="318"/>
              <w:jc w:val="both"/>
              <w:rPr>
                <w:b/>
              </w:rPr>
            </w:pPr>
            <w:r w:rsidRPr="007721FA">
              <w:rPr>
                <w:b/>
              </w:rPr>
              <w:t>"Mouvement Mondial": recommandations pour des changements des politiques et pratiques</w:t>
            </w:r>
          </w:p>
          <w:p w:rsidR="00DD3075" w:rsidRPr="007721FA" w:rsidRDefault="003C3A19" w:rsidP="00965087">
            <w:pPr>
              <w:spacing w:after="0" w:line="100" w:lineRule="atLeast"/>
              <w:ind w:left="-72"/>
              <w:jc w:val="both"/>
            </w:pPr>
            <w:r w:rsidRPr="007721FA">
              <w:rPr>
                <w:u w:val="single"/>
              </w:rPr>
              <w:t>Quels</w:t>
            </w:r>
            <w:r w:rsidR="007721FA" w:rsidRPr="007721FA">
              <w:rPr>
                <w:u w:val="single"/>
              </w:rPr>
              <w:t xml:space="preserve"> sont les changements  (supplémentaires)  nécessaires dans les politiques et les pratiques</w:t>
            </w:r>
            <w:r w:rsidR="007721FA" w:rsidRPr="007721FA">
              <w:t xml:space="preserve">? Qui peut mettre en œuvre ces changements et comment? Quelles sont les prochaines étapes à suivre pour la société civile à l'échelle nationale, régionale ou mondiale? Quelles sont les prochaines étapes recommandées aux gouvernements? </w:t>
            </w:r>
          </w:p>
          <w:p w:rsidR="00DD3075" w:rsidRPr="007721FA" w:rsidRDefault="00DD3075" w:rsidP="00965087">
            <w:pPr>
              <w:spacing w:after="0" w:line="100" w:lineRule="atLeast"/>
              <w:ind w:left="318"/>
              <w:jc w:val="both"/>
              <w:rPr>
                <w:b/>
              </w:rPr>
            </w:pPr>
          </w:p>
          <w:p w:rsidR="00DD3075" w:rsidRPr="007721FA" w:rsidRDefault="007721FA" w:rsidP="00965087">
            <w:pPr>
              <w:pStyle w:val="Liststycke"/>
              <w:numPr>
                <w:ilvl w:val="0"/>
                <w:numId w:val="1"/>
              </w:numPr>
              <w:spacing w:after="0" w:line="100" w:lineRule="atLeast"/>
              <w:ind w:left="318"/>
              <w:jc w:val="both"/>
              <w:rPr>
                <w:b/>
              </w:rPr>
            </w:pPr>
            <w:r w:rsidRPr="007721FA">
              <w:rPr>
                <w:b/>
              </w:rPr>
              <w:t>"Changer sur le terrain»: pratiques inspirantes, partenariats et outils</w:t>
            </w:r>
          </w:p>
          <w:p w:rsidR="00DD3075" w:rsidRPr="007721FA" w:rsidRDefault="007721FA" w:rsidP="00965087">
            <w:pPr>
              <w:spacing w:after="0" w:line="100" w:lineRule="atLeast"/>
              <w:ind w:left="-72"/>
              <w:jc w:val="both"/>
            </w:pPr>
            <w:r w:rsidRPr="007721FA">
              <w:rPr>
                <w:u w:val="single"/>
              </w:rPr>
              <w:t>Quelles sont les pratiques, les partenariats et les outils existant ou dont la création est nécessaire</w:t>
            </w:r>
            <w:r w:rsidRPr="007721FA">
              <w:t> et que nous pouvons utiliser pour réaliser les changements décrits?  Quelles pratiques peuvent être reproduites dans d'autres régions / pays / localités?  Quelles sont les prochaines étapes à suivre pour la société civile à l'échelle nationale, régionale ou mondiale? Quelles sont les prochaines étapes recommandées aux gouvernements?</w:t>
            </w:r>
          </w:p>
          <w:p w:rsidR="00DD3075" w:rsidRPr="007721FA" w:rsidRDefault="00DD3075" w:rsidP="00965087">
            <w:pPr>
              <w:spacing w:after="0" w:line="100" w:lineRule="atLeast"/>
              <w:ind w:left="318"/>
              <w:jc w:val="both"/>
            </w:pPr>
          </w:p>
          <w:p w:rsidR="00DD3075" w:rsidRPr="007721FA" w:rsidRDefault="007721FA" w:rsidP="00965087">
            <w:pPr>
              <w:pStyle w:val="Liststycke"/>
              <w:numPr>
                <w:ilvl w:val="0"/>
                <w:numId w:val="1"/>
              </w:numPr>
              <w:spacing w:after="0" w:line="100" w:lineRule="atLeast"/>
              <w:ind w:left="318"/>
              <w:rPr>
                <w:b/>
              </w:rPr>
            </w:pPr>
            <w:r w:rsidRPr="007721FA">
              <w:rPr>
                <w:b/>
              </w:rPr>
              <w:t xml:space="preserve">Les objectifs et indicateurs  </w:t>
            </w:r>
          </w:p>
          <w:p w:rsidR="00DD3075" w:rsidRPr="007721FA" w:rsidRDefault="007721FA" w:rsidP="00965087">
            <w:pPr>
              <w:spacing w:after="0" w:line="100" w:lineRule="atLeast"/>
              <w:ind w:left="-72"/>
              <w:jc w:val="both"/>
            </w:pPr>
            <w:r w:rsidRPr="007721FA">
              <w:rPr>
                <w:u w:val="single"/>
              </w:rPr>
              <w:t>Pouvons-nous formuler (ou approuver) un ensemble d'objectifs et d'indicateurs</w:t>
            </w:r>
            <w:r w:rsidRPr="007721FA">
              <w:rPr>
                <w:b/>
                <w:u w:val="single"/>
              </w:rPr>
              <w:t xml:space="preserve"> </w:t>
            </w:r>
            <w:r w:rsidRPr="007721FA">
              <w:rPr>
                <w:u w:val="single"/>
              </w:rPr>
              <w:t>pour mesurer le progr</w:t>
            </w:r>
            <w:r w:rsidRPr="007721FA">
              <w:t>ès vers la réalisation de ces changements? Lesquels de ces cibles et indicateurs ont leur place  dans le programme de développement mondial post-2015? Qui suivra l'évolution de ces progrès?</w:t>
            </w:r>
          </w:p>
        </w:tc>
      </w:tr>
    </w:tbl>
    <w:p w:rsidR="003C3A19" w:rsidRDefault="003C3A19" w:rsidP="003C3A19">
      <w:pPr>
        <w:ind w:right="-567"/>
        <w:rPr>
          <w:b/>
          <w:color w:val="92D050"/>
          <w:sz w:val="26"/>
        </w:rPr>
      </w:pPr>
      <w:bookmarkStart w:id="0" w:name="_GoBack"/>
      <w:bookmarkEnd w:id="0"/>
    </w:p>
    <w:p w:rsidR="00DD3075" w:rsidRPr="007721FA" w:rsidRDefault="007721FA" w:rsidP="00965087">
      <w:pPr>
        <w:ind w:left="-567" w:right="-567"/>
        <w:rPr>
          <w:b/>
          <w:color w:val="92D050"/>
          <w:sz w:val="26"/>
        </w:rPr>
      </w:pPr>
      <w:r w:rsidRPr="007721FA">
        <w:rPr>
          <w:b/>
          <w:color w:val="92D050"/>
          <w:sz w:val="26"/>
        </w:rPr>
        <w:t>Format des Sessions de Travail</w:t>
      </w:r>
    </w:p>
    <w:p w:rsidR="00DD3075" w:rsidRPr="007721FA" w:rsidRDefault="007721FA" w:rsidP="00965087">
      <w:pPr>
        <w:spacing w:after="0" w:line="100" w:lineRule="atLeast"/>
        <w:ind w:left="-567" w:right="-567"/>
        <w:jc w:val="both"/>
        <w:rPr>
          <w:i/>
          <w:color w:val="000000"/>
        </w:rPr>
      </w:pPr>
      <w:r w:rsidRPr="007721FA">
        <w:rPr>
          <w:color w:val="000000"/>
        </w:rPr>
        <w:t>Chaque séance de travail se tiendra pendant environ 3 heures et demie, structurés autour de (1) une introduction par les co-modérateurs des objectifs et recommandations antérieurs (2) 4 - 6 amorces de discussion présentant des pratiques, partenariats ou outils inspirants, ainsi que les premières réflexions sur les questions directrices et vers les buts, objectifs et indicateurs (3) une discussion de groupe visant à articuler des recommandations, des repères et des actions. Les délégués de la société civile pourront assister à deux séances de travail dans leur domaine de prédilection et d'expertise. À la discrétion des modérateurs, des séances de travail peuvent également être divisées en petits groupes pour un temps donné afin de permettre une interaction plus directe entre les délégués.</w:t>
      </w:r>
      <w:r w:rsidRPr="007721FA">
        <w:rPr>
          <w:i/>
          <w:color w:val="000000"/>
        </w:rPr>
        <w:t xml:space="preserve"> </w:t>
      </w:r>
    </w:p>
    <w:p w:rsidR="00DD3075" w:rsidRPr="007721FA" w:rsidRDefault="00DD3075" w:rsidP="00965087">
      <w:pPr>
        <w:spacing w:after="0" w:line="100" w:lineRule="atLeast"/>
        <w:ind w:left="-284" w:right="-284"/>
        <w:jc w:val="both"/>
      </w:pPr>
    </w:p>
    <w:sectPr w:rsidR="00DD3075" w:rsidRPr="007721FA" w:rsidSect="003C3A19">
      <w:footerReference w:type="default" r:id="rId8"/>
      <w:pgSz w:w="11906" w:h="16838"/>
      <w:pgMar w:top="851"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87" w:rsidRDefault="00965087">
      <w:pPr>
        <w:spacing w:after="0" w:line="240" w:lineRule="auto"/>
      </w:pPr>
      <w:r>
        <w:separator/>
      </w:r>
    </w:p>
  </w:endnote>
  <w:endnote w:type="continuationSeparator" w:id="0">
    <w:p w:rsidR="00965087" w:rsidRDefault="0096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87" w:rsidRDefault="00965087">
    <w:pPr>
      <w:pStyle w:val="Pieddepage"/>
      <w:jc w:val="right"/>
    </w:pPr>
    <w:r>
      <w:fldChar w:fldCharType="begin"/>
    </w:r>
    <w:r>
      <w:instrText>PAGE</w:instrText>
    </w:r>
    <w:r>
      <w:fldChar w:fldCharType="separate"/>
    </w:r>
    <w:r w:rsidR="00D83BDA">
      <w:rPr>
        <w:noProof/>
      </w:rPr>
      <w:t>2</w:t>
    </w:r>
    <w:r>
      <w:fldChar w:fldCharType="end"/>
    </w:r>
  </w:p>
  <w:p w:rsidR="00965087" w:rsidRDefault="009650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87" w:rsidRDefault="00965087">
      <w:pPr>
        <w:spacing w:after="0" w:line="240" w:lineRule="auto"/>
      </w:pPr>
      <w:r>
        <w:separator/>
      </w:r>
    </w:p>
  </w:footnote>
  <w:footnote w:type="continuationSeparator" w:id="0">
    <w:p w:rsidR="00965087" w:rsidRDefault="0096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93702"/>
    <w:multiLevelType w:val="multilevel"/>
    <w:tmpl w:val="F85C98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8F73F1"/>
    <w:multiLevelType w:val="multilevel"/>
    <w:tmpl w:val="6B24B274"/>
    <w:lvl w:ilvl="0">
      <w:start w:val="1"/>
      <w:numFmt w:val="decimal"/>
      <w:lvlText w:val="%1."/>
      <w:lvlJc w:val="left"/>
      <w:pPr>
        <w:ind w:left="390" w:hanging="390"/>
      </w:pPr>
      <w:rPr>
        <w:b/>
        <w:i w:val="0"/>
        <w:sz w:val="22"/>
      </w:rPr>
    </w:lvl>
    <w:lvl w:ilvl="1">
      <w:start w:val="1"/>
      <w:numFmt w:val="low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5"/>
    <w:rsid w:val="00043B0D"/>
    <w:rsid w:val="003C3A19"/>
    <w:rsid w:val="007721FA"/>
    <w:rsid w:val="007D70D3"/>
    <w:rsid w:val="00965087"/>
    <w:rsid w:val="00D83BDA"/>
    <w:rsid w:val="00D87511"/>
    <w:rsid w:val="00DD2505"/>
    <w:rsid w:val="00DD3075"/>
  </w:rsids>
  <m:mathPr>
    <m:mathFont m:val="Cambria Math"/>
    <m:brkBin m:val="before"/>
    <m:brkBinSub m:val="--"/>
    <m:smallFrac m:val="0"/>
    <m:dispDef/>
    <m:lMargin m:val="0"/>
    <m:rMargin m:val="0"/>
    <m:defJc m:val="centerGroup"/>
    <m:wrapIndent m:val="1440"/>
    <m:intLim m:val="subSup"/>
    <m:naryLim m:val="undOvr"/>
  </m:mathPr>
  <w:themeFontLang w:val="it-IT" w:eastAsia="zh-CN"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B068CF-D0C5-4FF3-9E90-36389879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p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56" w:lineRule="auto"/>
    </w:pPr>
    <w:rPr>
      <w:rFonts w:ascii="Calibri" w:eastAsia="SimSun" w:hAnsi="Calibri" w:cs="Calibri"/>
      <w:lang w:val="fr-FR" w:eastAsia="fr-FR" w:bidi="fr-FR"/>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ienInternet">
    <w:name w:val="Lien Internet"/>
    <w:basedOn w:val="Standardstycketeckensnitt"/>
    <w:rPr>
      <w:color w:val="0563C1"/>
      <w:u w:val="single"/>
    </w:rPr>
  </w:style>
  <w:style w:type="character" w:customStyle="1" w:styleId="BallontekstTeken">
    <w:name w:val="Ballontekst Teken"/>
    <w:basedOn w:val="Standardstycketeckensnitt"/>
    <w:rPr>
      <w:rFonts w:ascii="Tahoma" w:hAnsi="Tahoma" w:cs="Tahoma"/>
      <w:sz w:val="16"/>
      <w:szCs w:val="16"/>
    </w:rPr>
  </w:style>
  <w:style w:type="character" w:styleId="Kommentarsreferens">
    <w:name w:val="annotation reference"/>
    <w:basedOn w:val="Standardstycketeckensnitt"/>
    <w:rPr>
      <w:sz w:val="16"/>
      <w:szCs w:val="16"/>
    </w:rPr>
  </w:style>
  <w:style w:type="character" w:customStyle="1" w:styleId="TekstopmerkingTeken">
    <w:name w:val="Tekst opmerking Teken"/>
    <w:basedOn w:val="Standardstycketeckensnitt"/>
    <w:rPr>
      <w:sz w:val="20"/>
      <w:szCs w:val="20"/>
    </w:rPr>
  </w:style>
  <w:style w:type="character" w:customStyle="1" w:styleId="OnderwerpvanopmerkingTeken">
    <w:name w:val="Onderwerp van opmerking Teken"/>
    <w:basedOn w:val="TekstopmerkingTeken"/>
    <w:rPr>
      <w:b/>
      <w:bCs/>
      <w:sz w:val="20"/>
      <w:szCs w:val="20"/>
    </w:rPr>
  </w:style>
  <w:style w:type="character" w:styleId="AnvndHyperlnk">
    <w:name w:val="FollowedHyperlink"/>
    <w:basedOn w:val="Standardstycketeckensnitt"/>
    <w:rPr>
      <w:color w:val="954F72"/>
      <w:u w:val="single"/>
    </w:rPr>
  </w:style>
  <w:style w:type="character" w:customStyle="1" w:styleId="LijstalineaTeken">
    <w:name w:val="Lijstalinea Teken"/>
  </w:style>
  <w:style w:type="character" w:customStyle="1" w:styleId="KoptekstTeken">
    <w:name w:val="Koptekst Teken"/>
    <w:basedOn w:val="Standardstycketeckensnitt"/>
  </w:style>
  <w:style w:type="character" w:customStyle="1" w:styleId="VoettekstTeken">
    <w:name w:val="Voettekst Teken"/>
    <w:basedOn w:val="Standardstycketeckensnitt"/>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b/>
      <w:i w:val="0"/>
      <w:sz w:val="22"/>
    </w:rPr>
  </w:style>
  <w:style w:type="character" w:customStyle="1" w:styleId="ListLabel4">
    <w:name w:val="ListLabel 4"/>
    <w:rPr>
      <w:b/>
    </w:rPr>
  </w:style>
  <w:style w:type="paragraph" w:customStyle="1" w:styleId="Titre">
    <w:name w:val="Titre"/>
    <w:basedOn w:val="Normal"/>
    <w:next w:val="Corpsdetexte"/>
    <w:pPr>
      <w:keepNext/>
      <w:spacing w:before="240" w:after="120"/>
    </w:pPr>
    <w:rPr>
      <w:rFonts w:ascii="Arial" w:eastAsia="Microsoft YaHei" w:hAnsi="Arial" w:cs="Mangal"/>
      <w:sz w:val="28"/>
      <w:szCs w:val="28"/>
    </w:rPr>
  </w:style>
  <w:style w:type="paragraph" w:customStyle="1" w:styleId="Corpsdetexte">
    <w:name w:val="Corps de texte"/>
    <w:basedOn w:val="Normal"/>
    <w:pPr>
      <w:spacing w:after="120"/>
    </w:pPr>
  </w:style>
  <w:style w:type="paragraph" w:customStyle="1" w:styleId="Liste">
    <w:name w:val="Liste"/>
    <w:basedOn w:val="Corpsdetexte"/>
    <w:rPr>
      <w:rFonts w:cs="Mangal"/>
    </w:rPr>
  </w:style>
  <w:style w:type="paragraph" w:customStyle="1" w:styleId="Lgende">
    <w:name w:val="Légende"/>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stycke">
    <w:name w:val="List Paragraph"/>
    <w:basedOn w:val="Normal"/>
    <w:pPr>
      <w:ind w:left="720"/>
      <w:contextualSpacing/>
    </w:pPr>
  </w:style>
  <w:style w:type="paragraph" w:styleId="Ballongtext">
    <w:name w:val="Balloon Text"/>
    <w:basedOn w:val="Normal"/>
    <w:pPr>
      <w:spacing w:after="0" w:line="100" w:lineRule="atLeast"/>
    </w:pPr>
    <w:rPr>
      <w:rFonts w:ascii="Tahoma" w:hAnsi="Tahoma" w:cs="Tahoma"/>
      <w:sz w:val="16"/>
      <w:szCs w:val="16"/>
    </w:rPr>
  </w:style>
  <w:style w:type="paragraph" w:styleId="Kommentarer">
    <w:name w:val="annotation text"/>
    <w:basedOn w:val="Normal"/>
    <w:pPr>
      <w:spacing w:line="100" w:lineRule="atLeast"/>
    </w:pPr>
    <w:rPr>
      <w:sz w:val="20"/>
      <w:szCs w:val="20"/>
    </w:rPr>
  </w:style>
  <w:style w:type="paragraph" w:styleId="Kommentarsmne">
    <w:name w:val="annotation subject"/>
    <w:basedOn w:val="Kommentarer"/>
    <w:rPr>
      <w:b/>
      <w:bCs/>
    </w:rPr>
  </w:style>
  <w:style w:type="paragraph" w:customStyle="1" w:styleId="En-tte">
    <w:name w:val="En-tête"/>
    <w:basedOn w:val="Normal"/>
    <w:pPr>
      <w:tabs>
        <w:tab w:val="center" w:pos="4536"/>
        <w:tab w:val="right" w:pos="9072"/>
      </w:tabs>
      <w:spacing w:after="0" w:line="100" w:lineRule="atLeast"/>
    </w:pPr>
  </w:style>
  <w:style w:type="paragraph" w:customStyle="1" w:styleId="Pieddepage">
    <w:name w:val="Pied de page"/>
    <w:basedOn w:val="Normal"/>
    <w:pPr>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1053</Words>
  <Characters>5581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Pastoralcentrum</cp:lastModifiedBy>
  <cp:revision>3</cp:revision>
  <cp:lastPrinted>2014-05-09T19:54:00Z</cp:lastPrinted>
  <dcterms:created xsi:type="dcterms:W3CDTF">2014-05-08T21:39:00Z</dcterms:created>
  <dcterms:modified xsi:type="dcterms:W3CDTF">2014-05-09T19:54:00Z</dcterms:modified>
</cp:coreProperties>
</file>